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 xml:space="preserve">Уведомление пациента о несоблюдении назначений                        </w:t>
      </w:r>
    </w:p>
    <w:p>
      <w:pPr>
        <w:pStyle w:val="Style38"/>
        <w:shd w:fill="FFFFFF" w:val="clear"/>
        <w:spacing w:before="0" w:after="0"/>
        <w:jc w:val="center"/>
        <w:textAlignment w:val="baseline"/>
        <w:rPr/>
      </w:pPr>
      <w:r>
        <w:rPr>
          <w:rStyle w:val="3"/>
          <w:b/>
          <w:kern w:val="2"/>
          <w:sz w:val="22"/>
          <w:szCs w:val="22"/>
          <w:lang w:eastAsia="zh-CN"/>
        </w:rPr>
        <w:t>(рекомендаций врача) при оказании пациенту платных медицинских услуг</w:t>
      </w:r>
    </w:p>
    <w:p>
      <w:pPr>
        <w:pStyle w:val="Style38"/>
        <w:shd w:fill="FFFFFF" w:val="clear"/>
        <w:spacing w:before="0" w:after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На основании пункта 24 раздела IV Постановления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1006", подтверждаю, что до заключения договора Исполнитель в письменной форме уведомил меня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  <w:t>Пациент _____________/_________________________/  «____»_____________20   г</w:t>
      </w:r>
    </w:p>
    <w:p>
      <w:pPr>
        <w:pStyle w:val="Normal"/>
        <w:ind w:right="-1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ind w:right="-1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Д О Г О В О Р </w:t>
      </w:r>
    </w:p>
    <w:p>
      <w:pPr>
        <w:pStyle w:val="Normal"/>
        <w:ind w:right="-1" w:hanging="0"/>
        <w:jc w:val="center"/>
        <w:rPr/>
      </w:pPr>
      <w:r>
        <w:rPr>
          <w:rStyle w:val="3"/>
          <w:b/>
          <w:sz w:val="18"/>
          <w:szCs w:val="18"/>
        </w:rPr>
        <w:t>на оказание платных медицинских услуг</w:t>
      </w:r>
      <w:r>
        <w:rPr>
          <w:rStyle w:val="3"/>
          <w:sz w:val="18"/>
          <w:szCs w:val="18"/>
        </w:rPr>
        <w:t xml:space="preserve"> </w:t>
      </w:r>
      <w:r>
        <w:rPr>
          <w:rStyle w:val="3"/>
          <w:b/>
          <w:iCs/>
          <w:sz w:val="18"/>
          <w:szCs w:val="18"/>
          <w:shd w:fill="auto" w:val="clear"/>
        </w:rPr>
        <w:t xml:space="preserve">№ </w:t>
      </w:r>
    </w:p>
    <w:p>
      <w:pPr>
        <w:pStyle w:val="Normal"/>
        <w:ind w:right="-1" w:hanging="0"/>
        <w:rPr/>
      </w:pPr>
      <w:r>
        <w:rPr>
          <w:rStyle w:val="Style13"/>
          <w:sz w:val="18"/>
          <w:szCs w:val="18"/>
        </w:rPr>
        <w:t>г. Москва</w:t>
      </w:r>
      <w:r>
        <w:rPr>
          <w:rStyle w:val="Style13"/>
          <w:b/>
          <w:bCs/>
          <w:sz w:val="18"/>
          <w:szCs w:val="18"/>
        </w:rPr>
        <w:t xml:space="preserve">                                        </w:t>
        <w:tab/>
        <w:tab/>
        <w:tab/>
        <w:tab/>
        <w:tab/>
        <w:t xml:space="preserve">                                                             </w:t>
        <w:tab/>
      </w:r>
      <w:r>
        <w:rPr>
          <w:rStyle w:val="Style13"/>
          <w:sz w:val="18"/>
          <w:szCs w:val="18"/>
        </w:rPr>
        <w:t>__________ 20 __г.</w:t>
      </w:r>
    </w:p>
    <w:p>
      <w:pPr>
        <w:pStyle w:val="Normal"/>
        <w:ind w:right="-1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-1" w:hanging="0"/>
        <w:jc w:val="both"/>
        <w:rPr/>
      </w:pPr>
      <w:bookmarkStart w:id="0" w:name="org"/>
      <w:bookmarkEnd w:id="0"/>
      <w:r>
        <w:rPr>
          <w:rStyle w:val="Style13"/>
          <w:sz w:val="18"/>
          <w:szCs w:val="18"/>
        </w:rPr>
        <w:t>Общество с ограниченной ответственностью «</w:t>
      </w:r>
      <w:r>
        <w:rPr/>
        <w:t>ДЕНТО ЭЛЬ ЛИДЕР</w:t>
      </w:r>
      <w:r>
        <w:rPr>
          <w:rStyle w:val="Style13"/>
          <w:sz w:val="18"/>
          <w:szCs w:val="18"/>
        </w:rPr>
        <w:t xml:space="preserve">» (ОГРН </w:t>
      </w:r>
      <w:r>
        <w:rPr/>
        <w:t xml:space="preserve">1027739447944 от 24 октября 2002 г., </w:t>
      </w:r>
      <w:r>
        <w:rPr>
          <w:rStyle w:val="Style13"/>
          <w:sz w:val="18"/>
          <w:szCs w:val="18"/>
        </w:rPr>
        <w:t xml:space="preserve">выдан </w:t>
      </w:r>
      <w:r>
        <w:rPr>
          <w:rStyle w:val="Style13"/>
          <w:sz w:val="18"/>
          <w:szCs w:val="18"/>
          <w:shd w:fill="auto" w:val="clear"/>
        </w:rPr>
        <w:t xml:space="preserve">Межрайонной инспекцией Федеральной налоговой службы № 46 по г. Москве), именуемое в дальнейшем "Исполнитель", в лице </w:t>
      </w:r>
      <w:bookmarkStart w:id="1" w:name="kadry_rod"/>
      <w:bookmarkEnd w:id="1"/>
      <w:r>
        <w:rPr>
          <w:rStyle w:val="Style13"/>
          <w:sz w:val="18"/>
          <w:szCs w:val="18"/>
          <w:shd w:fill="auto" w:val="clear"/>
        </w:rPr>
        <w:t xml:space="preserve">___________________, действующего на основании доверенности </w:t>
      </w:r>
      <w:bookmarkStart w:id="2" w:name="kadry_lic"/>
      <w:bookmarkEnd w:id="2"/>
      <w:r>
        <w:rPr>
          <w:rStyle w:val="Style13"/>
          <w:sz w:val="18"/>
          <w:szCs w:val="18"/>
          <w:shd w:fill="auto" w:val="clear"/>
        </w:rPr>
        <w:t>№ __ от ______________ г., с одной стороны, и</w:t>
      </w:r>
    </w:p>
    <w:p>
      <w:pPr>
        <w:pStyle w:val="Normal"/>
        <w:ind w:right="-1" w:hanging="0"/>
        <w:jc w:val="both"/>
        <w:rPr/>
      </w:pPr>
      <w:r>
        <w:rPr>
          <w:rStyle w:val="Style13"/>
          <w:sz w:val="18"/>
          <w:szCs w:val="18"/>
          <w:shd w:fill="auto" w:val="clear"/>
        </w:rPr>
        <w:t xml:space="preserve">гражданин (гражданка) </w:t>
      </w:r>
      <w:bookmarkStart w:id="3" w:name="fiof"/>
      <w:bookmarkEnd w:id="3"/>
      <w:r>
        <w:rPr>
          <w:rStyle w:val="Style13"/>
          <w:sz w:val="18"/>
          <w:szCs w:val="18"/>
          <w:shd w:fill="auto" w:val="clear"/>
        </w:rPr>
        <w:t xml:space="preserve">__________________________________, </w:t>
      </w:r>
      <w:r>
        <w:rPr>
          <w:rStyle w:val="Style13"/>
          <w:sz w:val="18"/>
          <w:szCs w:val="18"/>
        </w:rPr>
        <w:t>именуемый (ая) в дальнейшем "Пациент", с другой стороны, вместе в дальнейшем именуемые "Стороны", заключили настоящий договор о нижеследующем:</w:t>
      </w:r>
    </w:p>
    <w:p>
      <w:pPr>
        <w:pStyle w:val="Normal"/>
        <w:ind w:right="-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2"/>
        </w:numPr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Предмет договора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обязуется оказывать Пациенту медицинские услуги, по своему профилю деятельности, в соответствии с лицензией на осуществление медицинской деятельности, а Пациент оплачивать предоставленные услуги в соответствии с прейскурантом Исполнителя и настоящим договором.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/>
      </w:pPr>
      <w:r>
        <w:rPr>
          <w:rStyle w:val="Style13"/>
          <w:sz w:val="18"/>
          <w:szCs w:val="18"/>
        </w:rPr>
        <w:t xml:space="preserve">Платные медицинские услуги предоставляются Исполнителем на основании перечня работ (услуг), составляющих медицинскую деятельность и указанных в лицензии на осуществление медицинской деятельности № </w:t>
      </w:r>
      <w:r>
        <w:rPr>
          <w:rStyle w:val="Style13"/>
          <w:sz w:val="20"/>
          <w:szCs w:val="20"/>
        </w:rPr>
        <w:t xml:space="preserve">ЛО41-01137-77/00368341 от 28.06.2019 г., </w:t>
      </w:r>
      <w:r>
        <w:rPr>
          <w:rStyle w:val="Style13"/>
          <w:sz w:val="18"/>
          <w:szCs w:val="18"/>
        </w:rPr>
        <w:t xml:space="preserve"> срок действия – бессрочно, выданной Департаментом здравоохранения города Москвы (г. Москва, Оружейный пер., д.43, тел.(499) 251-83-00). 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предоставляет платные медицинские услуги, качество которых должно соответствовать требованиям, предъявляемым к услугам соответствующего вида. Медицинская помощь при предоставлении платных медицинских услуг организуется и оказывается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</w:t>
      </w:r>
      <w:bookmarkStart w:id="4" w:name="l71"/>
      <w:bookmarkEnd w:id="4"/>
      <w:r>
        <w:rPr>
          <w:sz w:val="18"/>
          <w:szCs w:val="18"/>
        </w:rPr>
        <w:t>,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</w:t>
      </w:r>
      <w:bookmarkStart w:id="5" w:name="l15"/>
      <w:bookmarkEnd w:id="5"/>
      <w:r>
        <w:rPr>
          <w:sz w:val="18"/>
          <w:szCs w:val="18"/>
        </w:rPr>
        <w:t xml:space="preserve">, на основе клинических рекомендаций, с учетом стандартов медицинской помощи, утверждаемых Министерством здравоохранения Российской Федерации. </w:t>
      </w:r>
    </w:p>
    <w:p>
      <w:pPr>
        <w:pStyle w:val="Style31"/>
        <w:numPr>
          <w:ilvl w:val="1"/>
          <w:numId w:val="2"/>
        </w:numPr>
        <w:tabs>
          <w:tab w:val="left" w:pos="426" w:leader="none"/>
        </w:tabs>
        <w:ind w:left="0" w:hanging="0"/>
        <w:jc w:val="both"/>
        <w:rPr>
          <w:sz w:val="18"/>
          <w:szCs w:val="18"/>
        </w:rPr>
      </w:pPr>
      <w:r>
        <w:rPr>
          <w:sz w:val="18"/>
          <w:szCs w:val="18"/>
        </w:rPr>
        <w:t>Подписанием настоящего договора Пациент подтверждает, что на момент подписания договора,  Исполнитель беспрепятственно предоставил Пациенту возможность, в наглядной и доступной форме ознакомиться и получить, следующие сведения об Исполнителе и предоставляемых им платных медицинских услугах: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лица); 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основной государственный регистрационный номер, идентификационный номер налогоплательщика</w:t>
      </w:r>
      <w:bookmarkStart w:id="6" w:name="l17"/>
      <w:bookmarkEnd w:id="6"/>
      <w:r>
        <w:rPr>
          <w:sz w:val="18"/>
          <w:szCs w:val="18"/>
        </w:rPr>
        <w:t xml:space="preserve">; </w:t>
      </w:r>
    </w:p>
    <w:p>
      <w:pPr>
        <w:pStyle w:val="Style31"/>
        <w:numPr>
          <w:ilvl w:val="0"/>
          <w:numId w:val="3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адрес сайта Исполнителя в информационно-телекоммуникационной сети "Интернет" (далее - сеть "Интернет");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информацию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 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выписку из единого государственного реестра юридических лиц; </w:t>
      </w:r>
    </w:p>
    <w:p>
      <w:pPr>
        <w:pStyle w:val="Style31"/>
        <w:numPr>
          <w:ilvl w:val="0"/>
          <w:numId w:val="4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правила предоставления медицинскими организациями платных медицинских услуг (утв. 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1006") (далее – Правила);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сроки ожидания 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график работы медицинских работников, участвующих в предоставлении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образцы договоров на оказание платных медицинских услуг;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информация о платных медицинских услугах;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действующий перечень работ (услуг), составляющих медицинскую деятельность медицинской организации;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прейскурант на медицинские услуги, утвержденный в установленном порядке, 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сроки и порядок оплаты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условия предоставления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предоставлении платных медицинских услуг,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гарантийных обязательствах и сроках службы при оказании платных медицинских (стоматологических) услуг (Положение о гарантиях).</w:t>
      </w:r>
    </w:p>
    <w:p>
      <w:pPr>
        <w:pStyle w:val="Style31"/>
        <w:numPr>
          <w:ilvl w:val="0"/>
          <w:numId w:val="5"/>
        </w:numPr>
        <w:spacing w:lineRule="auto" w:line="240"/>
        <w:ind w:left="284" w:hanging="0"/>
        <w:jc w:val="both"/>
        <w:rPr>
          <w:sz w:val="18"/>
          <w:szCs w:val="18"/>
        </w:rPr>
      </w:pPr>
      <w:r>
        <w:rPr>
          <w:sz w:val="18"/>
          <w:szCs w:val="18"/>
        </w:rPr>
        <w:t>Я подтверждаю, что уведомлен о стоимости услуг, планируемых к оказанию в случае самостоятельной записи на прием.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 xml:space="preserve">Пациент  _____________/_________________________/   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 xml:space="preserve">      </w:t>
      </w:r>
    </w:p>
    <w:p>
      <w:pPr>
        <w:pStyle w:val="Style31"/>
        <w:tabs>
          <w:tab w:val="left" w:pos="284" w:leader="none"/>
        </w:tabs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 xml:space="preserve"> </w:t>
      </w:r>
    </w:p>
    <w:p>
      <w:pPr>
        <w:pStyle w:val="Style2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30"/>
        <w:numPr>
          <w:ilvl w:val="1"/>
          <w:numId w:val="7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/>
          <w:sz w:val="18"/>
          <w:szCs w:val="18"/>
          <w:lang w:bidi="hi-IN"/>
        </w:rPr>
      </w:pPr>
      <w:r>
        <w:rPr>
          <w:rFonts w:eastAsia="Lucida Sans Unicode"/>
          <w:sz w:val="18"/>
          <w:szCs w:val="18"/>
          <w:lang w:bidi="hi-IN"/>
        </w:rPr>
        <w:t>Установленные в медицинской организации видеокамеры,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пациентов, при оказании им медицинской помощи и качества предоставляемых медицинских услуг, в условиях обеспечения режима сохранения персональных данных пациентов и врачебной тайны.</w:t>
      </w:r>
    </w:p>
    <w:p>
      <w:pPr>
        <w:pStyle w:val="Style30"/>
        <w:numPr>
          <w:ilvl w:val="1"/>
          <w:numId w:val="7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rStyle w:val="Style13"/>
          <w:sz w:val="18"/>
          <w:szCs w:val="18"/>
        </w:rP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Style30"/>
        <w:numPr>
          <w:ilvl w:val="1"/>
          <w:numId w:val="7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Пациента.</w:t>
      </w:r>
    </w:p>
    <w:p>
      <w:pPr>
        <w:pStyle w:val="Style30"/>
        <w:numPr>
          <w:ilvl w:val="1"/>
          <w:numId w:val="7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 xml:space="preserve">Перечень требуемых, Пациенту, однократно, либо многократно, платных медицинских услуг, в том числе дополнительных, предоставляемых в рамках настоящего договора, определяется как при записи Пациента на прием, так и назначениями, сделанными врачом-специалистом/врачами-специалистами на приеме.  Ознакомление  Пациента с назначенными врачом/врачами на приеме дополнительными платными медицинскими услугами и их стоимостью подтверждается подписью Пациента в протоколе приема и/или акте согласования стоимости дополнительных услуг и/или расчете стоимости медицинских услуг (калькуляции) и означает согласие Пациента на оказание ему той или иной дополнительной платной медицинской услуги. </w:t>
      </w:r>
    </w:p>
    <w:p>
      <w:pPr>
        <w:pStyle w:val="Style30"/>
        <w:numPr>
          <w:ilvl w:val="1"/>
          <w:numId w:val="7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Подписывая настоящий договор, Пациент подтверждает, что обращаясь к Исполнителю за получением требуемой ему, либо назначенной ему врачом/врачами любой платной медицинской услуги/услуг, он проинформирован об ее/их стоимости и обязуется ее/их оплатить по завершении ее/их оказания.</w:t>
      </w:r>
    </w:p>
    <w:p>
      <w:pPr>
        <w:pStyle w:val="Style30"/>
        <w:numPr>
          <w:ilvl w:val="1"/>
          <w:numId w:val="7"/>
        </w:numPr>
        <w:tabs>
          <w:tab w:val="clear" w:pos="708"/>
          <w:tab w:val="left" w:pos="426" w:leader="none"/>
        </w:tabs>
        <w:ind w:left="0" w:hanging="0"/>
        <w:jc w:val="both"/>
        <w:rPr>
          <w:rFonts w:eastAsia="Lucida Sans Unicode" w:cs="Mangal"/>
          <w:sz w:val="18"/>
          <w:szCs w:val="18"/>
          <w:lang w:bidi="hi-IN"/>
        </w:rPr>
      </w:pPr>
      <w:r>
        <w:rPr>
          <w:rFonts w:eastAsia="Lucida Sans Unicode" w:cs="Mangal"/>
          <w:sz w:val="18"/>
          <w:szCs w:val="18"/>
          <w:lang w:bidi="hi-IN"/>
        </w:rPr>
        <w:t>Сроки предоставления медицинских услуг, конкретизируются Исполнителем по соглашению с Пациентом исходя из общего соматического статуса Пациента, его психоэмоционального состояния, наличия у Пациента и врача/специалиста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Style2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-1" w:hanging="0"/>
        <w:jc w:val="center"/>
        <w:rPr>
          <w:b/>
          <w:b/>
          <w:color w:val="000000"/>
          <w:sz w:val="18"/>
          <w:szCs w:val="18"/>
          <w:shd w:fill="FFFFFF" w:val="clear"/>
        </w:rPr>
      </w:pPr>
      <w:r>
        <w:rPr>
          <w:b/>
          <w:color w:val="000000"/>
          <w:sz w:val="18"/>
          <w:szCs w:val="18"/>
          <w:shd w:fill="FFFFFF" w:val="clear"/>
        </w:rPr>
        <w:t>2. Обязанности сторон</w:t>
      </w:r>
    </w:p>
    <w:p>
      <w:pPr>
        <w:pStyle w:val="2"/>
        <w:tabs>
          <w:tab w:val="clear" w:pos="708"/>
          <w:tab w:val="left" w:pos="142" w:leader="none"/>
        </w:tabs>
        <w:ind w:right="-1" w:hanging="0"/>
        <w:jc w:val="both"/>
        <w:rPr>
          <w:rFonts w:cs="Times New Roman"/>
          <w:b/>
          <w:b/>
          <w:bCs/>
          <w:iCs/>
          <w:color w:val="000000"/>
          <w:sz w:val="18"/>
          <w:szCs w:val="18"/>
        </w:rPr>
      </w:pPr>
      <w:r>
        <w:rPr>
          <w:rFonts w:cs="Times New Roman"/>
          <w:b/>
          <w:bCs/>
          <w:iCs/>
          <w:color w:val="000000"/>
          <w:sz w:val="18"/>
          <w:szCs w:val="18"/>
        </w:rPr>
        <w:t>2.1.  Исполнитель обязуется:</w:t>
      </w:r>
    </w:p>
    <w:p>
      <w:pPr>
        <w:pStyle w:val="2"/>
        <w:ind w:right="-1" w:hanging="0"/>
        <w:jc w:val="both"/>
        <w:rPr/>
      </w:pPr>
      <w:r>
        <w:rPr>
          <w:rStyle w:val="Style13"/>
          <w:rFonts w:cs="Times New Roman"/>
          <w:spacing w:val="0"/>
          <w:sz w:val="18"/>
          <w:szCs w:val="18"/>
        </w:rPr>
        <w:t xml:space="preserve">2.1.1. </w:t>
      </w:r>
      <w:r>
        <w:rPr>
          <w:rStyle w:val="Style13"/>
          <w:rFonts w:cs="Times New Roman"/>
          <w:sz w:val="18"/>
          <w:szCs w:val="18"/>
        </w:rPr>
        <w:t>Предоставить для ознакомления информацию об Исполнителе, в соответствии с Правилами путем размещения ее на информационном стенде (стойке ресепшен) по месту предоставления медицинских услуг, а также на сайте Исполнителя.</w:t>
      </w:r>
    </w:p>
    <w:p>
      <w:pPr>
        <w:pStyle w:val="Style26"/>
        <w:suppressAutoHyphens w:val="false"/>
        <w:jc w:val="both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2.1.2. До заключения договора в письменной форме уведомить Пациента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2.1.3. Предупредить Пациента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договором. Без согласия Пациента Исполнитель не вправе предоставлять дополнительные медицинские услуги на возмездной основе. 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2.1.4. По заявлению Пациента выдать Пациенту медицинские документы (копии медицинских документов, выписки из медицинских документов), отражающие состояние его здоровья в сроки, предусмотренные действующим законодательством.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2.1.5. Платные медицинские услуги предоставить при наличии информированного добровольного согласия Пациента, данного в порядке, установленном законодательством Российской Федерации об охране здоровья граждан.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2.1.6. Предоставить Пациенту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лекарственных препаратах и медицинских изделиях, в том числе о сроках их годности, показаниях (противопоказаниях) к применению. 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 xml:space="preserve">2.1.7.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>
      <w:pPr>
        <w:pStyle w:val="Style26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2.1.8. Довести до Пациента информацию о форме и способах направления обращений (жалоб) в органы государственной власти и организации. Известить, что обращения, содержащие финансовые требования, связанные с некачественным оказанием услуг и причинением вреда здоровью при обращении к Исполнителю направляются в письменной форме по фактическому или юридическому адресу места нахождения Исполнителя по почте России или очно под отметку о приемке, остальные обращения (жалобы) содержащие нефинансовые требования могут быть направлены на адрес электронной почты </w:t>
      </w:r>
      <w:hyperlink r:id="rId2" w:tgtFrame="_top">
        <w:r>
          <w:rPr>
            <w:rFonts w:eastAsia="Times New Roman" w:cs="Times New Roman"/>
            <w:sz w:val="18"/>
            <w:szCs w:val="18"/>
            <w:lang w:bidi="ar-SA"/>
          </w:rPr>
          <w:t>info@semeynaya.ru</w:t>
        </w:r>
      </w:hyperlink>
      <w:r>
        <w:rPr>
          <w:rStyle w:val="Style13"/>
          <w:rFonts w:eastAsia="Times New Roman" w:cs="Times New Roman"/>
          <w:sz w:val="18"/>
          <w:szCs w:val="18"/>
          <w:lang w:bidi="ar-SA"/>
        </w:rPr>
        <w:t xml:space="preserve"> или через форму обратной связи на сайте медицинской организации https://semeynaya.ru, контакт-центр и мессенджеры Исполнителя.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2.1.9. По запросу Пациента выдавать в соответствии с приказом Минздрава России от 14.09.2020 N 972н "Об утверждении Порядка выдачи медицинскими организациями справок и медицинских заключений", такие медицинские документы как медицинское заключение и справка, отражающие состояние здоровья Пациента после получения платных медицинских услуг в срок, не превышающий 3 рабочих дней. Справки и медицинские заключения выдаются Пациенту, на бумажном носителе при их личном обращении за получением указанных документов в медицинскую организацию при предъявлении документа, удостоверяющего личность.</w:t>
      </w:r>
      <w:bookmarkStart w:id="7" w:name="l18"/>
      <w:bookmarkEnd w:id="7"/>
    </w:p>
    <w:p>
      <w:pPr>
        <w:pStyle w:val="Style26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>2.1.10.  По требованию Пациента составить смету на предоставление платных медицинских услуг, при этом она будет являться неотъемлемой частью договора.</w:t>
      </w:r>
    </w:p>
    <w:p>
      <w:pPr>
        <w:pStyle w:val="Style26"/>
        <w:widowControl/>
        <w:suppressAutoHyphens w:val="false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2"/>
        <w:tabs>
          <w:tab w:val="clear" w:pos="708"/>
          <w:tab w:val="left" w:pos="934" w:leader="none"/>
        </w:tabs>
        <w:ind w:right="-1" w:hanging="0"/>
        <w:jc w:val="both"/>
        <w:rPr>
          <w:rFonts w:cs="Times New Roman"/>
          <w:b/>
          <w:b/>
          <w:bCs/>
          <w:spacing w:val="0"/>
          <w:sz w:val="18"/>
          <w:szCs w:val="18"/>
        </w:rPr>
      </w:pPr>
      <w:r>
        <w:rPr>
          <w:rFonts w:cs="Times New Roman"/>
          <w:b/>
          <w:bCs/>
          <w:spacing w:val="0"/>
          <w:sz w:val="18"/>
          <w:szCs w:val="18"/>
        </w:rPr>
        <w:t>2.2. Пациент обязуется:</w:t>
      </w:r>
    </w:p>
    <w:p>
      <w:pPr>
        <w:pStyle w:val="Style26"/>
        <w:widowControl/>
        <w:suppressAutoHyphens w:val="false"/>
        <w:jc w:val="both"/>
        <w:textAlignment w:val="auto"/>
        <w:rPr/>
      </w:pPr>
      <w:r>
        <w:rPr>
          <w:rStyle w:val="Style13"/>
          <w:rFonts w:eastAsia="Times New Roman" w:cs="Times New Roman"/>
          <w:sz w:val="18"/>
          <w:szCs w:val="18"/>
          <w:lang w:bidi="ar-SA"/>
        </w:rPr>
        <w:t>2.2.1. Своевременно и в полном объеме оплатить медицинские услуги, оказанные Исполнителем, в сроки и в порядке, установленными настоящим договором.</w:t>
      </w:r>
    </w:p>
    <w:p>
      <w:pPr>
        <w:pStyle w:val="Style26"/>
        <w:widowControl/>
        <w:suppressAutoHyphens w:val="false"/>
        <w:jc w:val="both"/>
        <w:textAlignment w:val="auto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2.2.2. Предварительно, до получения платной медицинской услуги/платных медицинских услуг, ознакомиться с информацией, утвержденной Исполнителем, размещенной на информационном стенде (стойке ресепшн) по месту предоставления услуг, в том числе со стоимостью предстоящей платной медицинской(ких) услуги/услуг.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2.2.3. В случае нахождении на лечении, в соответствии с Федеральным законом "Об основах охраны здоровья граждан в Российской Федерации"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2.2.4. В соответствии Федеральным законом от 27.07.2006 г. № 152-ФЗ «О персональных данных» своей волей и в своем интересе настоящим Пациент подтверждает свое согласие на обработку персональных данных Пациента Оператором – Исполнителем. Пациент подтверждает свое согласие с тем, что обработка персональных данных Пациента и сведений, отнесенных к врачебной тайне (Пациента), осуществляется в медико-профилактических целях, в целях установления медицинского диагноза, оказания медицинских и медико-</w:t>
        <w:softHyphen/>
        <w:t>социальных услуг, ведения учета и систематизации оказанных услуг, в целях исполнения условий договоров по привлечению Пациентов, а также в целях улучшения качества обслуживания пациентов и проведения маркетинговых программ, статистических исследований. В целях улучшения качества обслуживания, проведения оценки эффективности маркетинговых программ и качества медицинской помощи, настоящим также Пациент дает свое согласие на получение информации об услугах исполнителя в виде sms-сообщений, по e-mail (электронной почте) и телефону на указанный номер телефона и адрес электронной почты.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Даю / не даю согласие (нужное обвести) _____________ (подпись Пациента) на обработку персональных данных, на использование моего номера телефона, адреса электронной почты для улучшения качества обслуживания, проведения оценки эффективности маркетинговых программ и качества медицинской помощи.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2"/>
        <w:numPr>
          <w:ilvl w:val="0"/>
          <w:numId w:val="6"/>
        </w:numPr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Цена договора, порядок расчетов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3.1. Стоимость услуг, оказываемых Пациенту, определяется исходя из объема оказанных услуг, согласованных Пациентом, по ценам, действующим на период оказания услуг и указанных в Прейскуранте.</w:t>
      </w:r>
    </w:p>
    <w:p>
      <w:pPr>
        <w:pStyle w:val="Style26"/>
        <w:suppressAutoHyphens w:val="false"/>
        <w:jc w:val="both"/>
        <w:rPr/>
      </w:pPr>
      <w:r>
        <w:rPr>
          <w:rStyle w:val="Style13"/>
          <w:sz w:val="18"/>
          <w:szCs w:val="18"/>
        </w:rPr>
        <w:t xml:space="preserve">3.2. Пациенту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образца). 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3.3.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21.11.2011 №323-ФЗ "Об основах охраны здоровья граждан в Российской Федерации".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3.4. Услуги Исполнителя могут быть оплачены самим Пациентом, либо третьими лицами в порядке, отдельно определенном Сторонами. 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3.5. Услуги, оказываемые Пациенту, заключившему договор со страховой медицинской организацией ___________________________________________(наименование страховщика по добровольному медицинскому страхованию пациента при наличии), оказываются за счет страховой медицинской организации в соответствии с наполнением страховой программы согласованной при заключении договора между Пациентом и страховой медицинской организацией. В случае превышения наполнения согласованной страховой программы, оплата производится Пациентом по Прейскуранту Исполнителя.</w:t>
      </w:r>
    </w:p>
    <w:p>
      <w:pPr>
        <w:pStyle w:val="Style30"/>
        <w:jc w:val="both"/>
        <w:rPr>
          <w:sz w:val="18"/>
          <w:szCs w:val="18"/>
        </w:rPr>
      </w:pPr>
      <w:r>
        <w:rPr>
          <w:sz w:val="18"/>
          <w:szCs w:val="18"/>
        </w:rPr>
        <w:t>3.6. В случае оказания Пациенту услуг по Договору добровольного медицинского страхования Пациентом оплачиваются услуги Исполнителя в соответствии с порядком оплаты медицинских услуг с обязательным применением франшизы, в случае если такой порядок оплаты предусмотрен Договором.</w:t>
      </w:r>
    </w:p>
    <w:p>
      <w:pPr>
        <w:pStyle w:val="2"/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</w:r>
    </w:p>
    <w:p>
      <w:pPr>
        <w:pStyle w:val="2"/>
        <w:ind w:right="-1" w:hanging="0"/>
        <w:jc w:val="center"/>
        <w:rPr/>
      </w:pPr>
      <w:r>
        <w:rPr>
          <w:rStyle w:val="Style13"/>
          <w:rFonts w:cs="Times New Roman"/>
          <w:b/>
          <w:bCs/>
          <w:color w:val="000000"/>
          <w:sz w:val="18"/>
          <w:szCs w:val="18"/>
        </w:rPr>
        <w:t xml:space="preserve">4. Ответственность </w:t>
      </w:r>
    </w:p>
    <w:p>
      <w:pPr>
        <w:pStyle w:val="2"/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4</w:t>
      </w:r>
      <w:r>
        <w:rPr>
          <w:rStyle w:val="Style13"/>
          <w:rFonts w:cs="Times New Roman"/>
          <w:spacing w:val="0"/>
          <w:sz w:val="18"/>
          <w:szCs w:val="18"/>
        </w:rPr>
        <w:t>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4.2. Вред, причиненный Исполнителем жизни или здоровью Пациента в результате предоставления ему некачественной платной медицинской услуги, подлежит возмещению в порядке, предусмотренном законодательством Российской Федерации. </w:t>
      </w:r>
    </w:p>
    <w:p>
      <w:pPr>
        <w:pStyle w:val="2"/>
        <w:ind w:right="-1" w:hanging="0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</w:r>
    </w:p>
    <w:p>
      <w:pPr>
        <w:pStyle w:val="2"/>
        <w:tabs>
          <w:tab w:val="clear" w:pos="708"/>
          <w:tab w:val="left" w:pos="426" w:leader="none"/>
        </w:tabs>
        <w:ind w:right="-1" w:hanging="0"/>
        <w:jc w:val="center"/>
        <w:rPr>
          <w:rFonts w:cs="Times New Roman"/>
          <w:b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5. Порядок изменения и расторжения договора</w:t>
      </w:r>
    </w:p>
    <w:p>
      <w:pPr>
        <w:pStyle w:val="2"/>
        <w:tabs>
          <w:tab w:val="clear" w:pos="708"/>
          <w:tab w:val="left" w:pos="426" w:leader="none"/>
        </w:tabs>
        <w:jc w:val="both"/>
        <w:rPr/>
      </w:pPr>
      <w:r>
        <w:rPr>
          <w:rStyle w:val="Style13"/>
          <w:rFonts w:cs="Times New Roman"/>
          <w:color w:val="000000"/>
          <w:sz w:val="18"/>
          <w:szCs w:val="18"/>
        </w:rPr>
        <w:t>5</w:t>
      </w:r>
      <w:r>
        <w:rPr>
          <w:rStyle w:val="Style13"/>
          <w:rFonts w:cs="Times New Roman"/>
          <w:spacing w:val="0"/>
          <w:sz w:val="18"/>
          <w:szCs w:val="18"/>
        </w:rPr>
        <w:t>.1. Настоящий договор может быть изменен или расторгнут по соглашению Сторон.</w:t>
      </w:r>
    </w:p>
    <w:p>
      <w:pPr>
        <w:pStyle w:val="2"/>
        <w:jc w:val="both"/>
        <w:rPr>
          <w:rFonts w:cs="Times New Roman"/>
          <w:spacing w:val="0"/>
          <w:sz w:val="18"/>
          <w:szCs w:val="18"/>
        </w:rPr>
      </w:pPr>
      <w:r>
        <w:rPr>
          <w:rFonts w:cs="Times New Roman"/>
          <w:spacing w:val="0"/>
          <w:sz w:val="18"/>
          <w:szCs w:val="18"/>
        </w:rPr>
        <w:t xml:space="preserve">5.2. В случае отказа Пациента после заключения договора от получения медицинских услуг - договор расторгается. Исполнитель информирует Пациента о расторжении договора по инициативе Пациента, при этом Пациент оплачивает Исполнителю фактически понесенные Исполнителем расходы, связанные с исполнением обязательств по договору. 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5.3. Пациент вправе отказаться от исполнения договора возмездного оказания услуг при условии оплаты исполнителю фактически понесенных им расходов.</w:t>
      </w:r>
    </w:p>
    <w:p>
      <w:pPr>
        <w:pStyle w:val="Style26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  <w:t>5.4. В случае если договор заключается Пациентом и Исполнителем, он составляется в 2 экземплярах, имеющих одинаковую юридическую силу (кроме случаев заключения договора дистанционным способом). 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Style26"/>
        <w:suppressAutoHyphens w:val="false"/>
        <w:jc w:val="both"/>
        <w:rPr>
          <w:rFonts w:eastAsia="Times New Roman" w:cs="Times New Roman"/>
          <w:sz w:val="18"/>
          <w:szCs w:val="18"/>
          <w:lang w:bidi="ar-SA"/>
        </w:rPr>
      </w:pPr>
      <w:r>
        <w:rPr>
          <w:rFonts w:eastAsia="Times New Roman" w:cs="Times New Roman"/>
          <w:sz w:val="18"/>
          <w:szCs w:val="18"/>
          <w:lang w:bidi="ar-SA"/>
        </w:rPr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6. Адреса и реквизиты сторон</w:t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7198" w:type="dxa"/>
        <w:jc w:val="left"/>
        <w:tblInd w:w="14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1"/>
        <w:gridCol w:w="3827"/>
      </w:tblGrid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ПАЦИЕНТ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1" w:hanging="0"/>
              <w:jc w:val="both"/>
              <w:rPr/>
            </w:pPr>
            <w:r>
              <w:rPr/>
              <w:t>ООО "ДЕНТО ЭЛЬ ЛИДЕР"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/>
            </w:pPr>
            <w:r>
              <w:rPr/>
              <w:t>Адрес:127006, город Москва, Садовая-Каретная ул., д. 8 стр. 6, ком. 5 этаж 4 пом. II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жительства:                                                                                  </w:t>
            </w:r>
          </w:p>
        </w:tc>
      </w:tr>
      <w:tr>
        <w:trPr>
          <w:trHeight w:val="950" w:hRule="atLeast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/>
            </w:pPr>
            <w:r>
              <w:rPr/>
              <w:t>ИНН / КПП 7702218716 / 770701001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Паспорт:  серия  _________     № 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Кем выдан:______________________________</w:t>
            </w:r>
          </w:p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________________________________________Дата выдачи: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Style26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e-mail: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(495) 662 5885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</w:tc>
      </w:tr>
      <w:tr>
        <w:trPr/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доверенности</w:t>
            </w:r>
          </w:p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>
            <w:pPr>
              <w:pStyle w:val="Normal"/>
              <w:ind w:right="-1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/________________/</w:t>
            </w:r>
          </w:p>
        </w:tc>
      </w:tr>
    </w:tbl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right="-1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right="-1" w:hanging="0"/>
        <w:jc w:val="center"/>
        <w:rPr/>
      </w:pPr>
      <w:r>
        <w:rPr/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tabs>
          <w:tab w:val="clear" w:pos="708"/>
        </w:tabs>
        <w:ind w:left="-567"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"/>
        <w:ind w:right="-50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794" w:right="839" w:header="0" w:top="426" w:footer="0" w:bottom="426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">
    <w:name w:val="Heading 1"/>
    <w:basedOn w:val="Normal"/>
    <w:next w:val="Style25"/>
    <w:qFormat/>
    <w:pPr>
      <w:numPr>
        <w:ilvl w:val="0"/>
        <w:numId w:val="1"/>
      </w:numPr>
      <w:suppressAutoHyphens w:val="true"/>
      <w:spacing w:before="280" w:after="280"/>
      <w:outlineLvl w:val="0"/>
    </w:pPr>
    <w:rPr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8z0">
    <w:name w:val="WW8Num8z0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8z3">
    <w:name w:val="WW8Num8z3"/>
    <w:qFormat/>
    <w:rPr>
      <w:rFonts w:ascii="Symbol" w:hAnsi="Symbol" w:eastAsia="Symbol" w:cs="Symbol"/>
    </w:rPr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0">
    <w:name w:val="WW8Num10z0"/>
    <w:qFormat/>
    <w:rPr>
      <w:rFonts w:ascii="Symbol" w:hAnsi="Symbol" w:eastAsia="Symbol" w:cs="Symbol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0">
    <w:name w:val="WW8Num11z0"/>
    <w:qFormat/>
    <w:rPr>
      <w:rFonts w:ascii="Symbol" w:hAnsi="Symbol" w:eastAsia="Symbol" w:cs="Symbol"/>
    </w:rPr>
  </w:style>
  <w:style w:type="character" w:styleId="WW8Num11z1">
    <w:name w:val="WW8Num11z1"/>
    <w:qFormat/>
    <w:rPr>
      <w:rFonts w:ascii="Courier New" w:hAnsi="Courier New" w:eastAsia="Courier New" w:cs="Courier New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Courier New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>
      <w:rFonts w:ascii="Symbol" w:hAnsi="Symbol" w:eastAsia="Symbol" w:cs="Symbol"/>
    </w:rPr>
  </w:style>
  <w:style w:type="character" w:styleId="WW8Num19z1">
    <w:name w:val="WW8Num19z1"/>
    <w:qFormat/>
    <w:rPr>
      <w:rFonts w:ascii="Courier New" w:hAnsi="Courier New" w:eastAsia="Courier New" w:cs="Courier New"/>
    </w:rPr>
  </w:style>
  <w:style w:type="character" w:styleId="WW8Num19z2">
    <w:name w:val="WW8Num19z2"/>
    <w:qFormat/>
    <w:rPr>
      <w:rFonts w:ascii="Wingdings" w:hAnsi="Wingdings" w:eastAsia="Wingdings" w:cs="Wingdings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3z0">
    <w:name w:val="WW8Num23z0"/>
    <w:qFormat/>
    <w:rPr>
      <w:rFonts w:ascii="Symbol" w:hAnsi="Symbol" w:eastAsia="Symbol" w:cs="Symbol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4z0">
    <w:name w:val="WW8Num24z0"/>
    <w:qFormat/>
    <w:rPr>
      <w:rFonts w:ascii="Symbol" w:hAnsi="Symbol" w:eastAsia="Symbol" w:cs="Symbol"/>
    </w:rPr>
  </w:style>
  <w:style w:type="character" w:styleId="WW8Num24z1">
    <w:name w:val="WW8Num24z1"/>
    <w:qFormat/>
    <w:rPr>
      <w:rFonts w:ascii="Courier New" w:hAnsi="Courier New" w:eastAsia="Courier New" w:cs="Courier New"/>
    </w:rPr>
  </w:style>
  <w:style w:type="character" w:styleId="WW8Num24z2">
    <w:name w:val="WW8Num24z2"/>
    <w:qFormat/>
    <w:rPr>
      <w:rFonts w:ascii="Wingdings" w:hAnsi="Wingdings" w:eastAsia="Wingdings" w:cs="Wingdings"/>
    </w:rPr>
  </w:style>
  <w:style w:type="character" w:styleId="WW8Num25z0">
    <w:name w:val="WW8Num25z0"/>
    <w:qFormat/>
    <w:rPr>
      <w:rFonts w:ascii="Symbol" w:hAnsi="Symbol" w:eastAsia="Symbol" w:cs="Symbol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6z0">
    <w:name w:val="WW8Num26z0"/>
    <w:qFormat/>
    <w:rPr>
      <w:rFonts w:ascii="Courier New" w:hAnsi="Courier New" w:eastAsia="Courier New" w:cs="Courier New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6z3">
    <w:name w:val="WW8Num26z3"/>
    <w:qFormat/>
    <w:rPr>
      <w:rFonts w:ascii="Symbol" w:hAnsi="Symbol" w:eastAsia="Symbol" w:cs="Symbol"/>
    </w:rPr>
  </w:style>
  <w:style w:type="character" w:styleId="WW8NumSt21z0">
    <w:name w:val="WW8NumSt21z0"/>
    <w:qFormat/>
    <w:rPr>
      <w:rFonts w:ascii="Times New Roman" w:hAnsi="Times New Roman" w:eastAsia="Times New Roman" w:cs="Times New Roman"/>
    </w:rPr>
  </w:style>
  <w:style w:type="character" w:styleId="3">
    <w:name w:val="Основной шрифт абзаца3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Основной текст Знак"/>
    <w:qFormat/>
    <w:rPr>
      <w:rFonts w:ascii="Times New Roman" w:hAnsi="Times New Roman" w:eastAsia="Times New Roman" w:cs="Arial"/>
      <w:spacing w:val="-4"/>
      <w:kern w:val="2"/>
      <w:sz w:val="20"/>
      <w:szCs w:val="18"/>
    </w:rPr>
  </w:style>
  <w:style w:type="character" w:styleId="Style16">
    <w:name w:val="Выделение"/>
    <w:qFormat/>
    <w:rPr>
      <w:i/>
      <w:iCs/>
    </w:rPr>
  </w:style>
  <w:style w:type="character" w:styleId="Blk">
    <w:name w:val="blk"/>
    <w:basedOn w:val="Style13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9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20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WW21">
    <w:name w:val="WW-Основной текст (2)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21">
    <w:name w:val="Гиперссылка"/>
    <w:basedOn w:val="Style13"/>
    <w:qFormat/>
    <w:rPr>
      <w:color w:val="0000FF"/>
      <w:u w:val="single"/>
    </w:rPr>
  </w:style>
  <w:style w:type="character" w:styleId="Style22">
    <w:name w:val="Верхний колонтитул Знак"/>
    <w:basedOn w:val="Style13"/>
    <w:qFormat/>
    <w:rPr>
      <w:szCs w:val="21"/>
    </w:rPr>
  </w:style>
  <w:style w:type="character" w:styleId="Style23">
    <w:name w:val="Нижний колонтитул Знак"/>
    <w:basedOn w:val="Style13"/>
    <w:qFormat/>
    <w:rPr>
      <w:szCs w:val="21"/>
    </w:rPr>
  </w:style>
  <w:style w:type="character" w:styleId="WWCharLFO2LVL1">
    <w:name w:val="WW_CharLFO2LVL1"/>
    <w:qFormat/>
    <w:rPr>
      <w:rFonts w:ascii="Symbol" w:hAnsi="Symbol" w:cs="OpenSymbol;Arial Unicode MS"/>
    </w:rPr>
  </w:style>
  <w:style w:type="character" w:styleId="WWCharLFO2LVL2">
    <w:name w:val="WW_CharLFO2LVL2"/>
    <w:qFormat/>
    <w:rPr>
      <w:rFonts w:ascii="Symbol" w:hAnsi="Symbol" w:cs="OpenSymbol;Arial Unicode MS"/>
    </w:rPr>
  </w:style>
  <w:style w:type="character" w:styleId="WWCharLFO2LVL3">
    <w:name w:val="WW_CharLFO2LVL3"/>
    <w:qFormat/>
    <w:rPr>
      <w:rFonts w:ascii="Symbol" w:hAnsi="Symbol" w:cs="OpenSymbol;Arial Unicode MS"/>
    </w:rPr>
  </w:style>
  <w:style w:type="character" w:styleId="WWCharLFO2LVL4">
    <w:name w:val="WW_CharLFO2LVL4"/>
    <w:qFormat/>
    <w:rPr>
      <w:rFonts w:ascii="Symbol" w:hAnsi="Symbol" w:cs="OpenSymbol;Arial Unicode MS"/>
    </w:rPr>
  </w:style>
  <w:style w:type="character" w:styleId="WWCharLFO2LVL5">
    <w:name w:val="WW_CharLFO2LVL5"/>
    <w:qFormat/>
    <w:rPr>
      <w:rFonts w:ascii="Symbol" w:hAnsi="Symbol" w:cs="OpenSymbol;Arial Unicode MS"/>
    </w:rPr>
  </w:style>
  <w:style w:type="character" w:styleId="WWCharLFO2LVL6">
    <w:name w:val="WW_CharLFO2LVL6"/>
    <w:qFormat/>
    <w:rPr>
      <w:rFonts w:ascii="Symbol" w:hAnsi="Symbol" w:cs="OpenSymbol;Arial Unicode MS"/>
    </w:rPr>
  </w:style>
  <w:style w:type="character" w:styleId="WWCharLFO2LVL7">
    <w:name w:val="WW_CharLFO2LVL7"/>
    <w:qFormat/>
    <w:rPr>
      <w:rFonts w:ascii="Symbol" w:hAnsi="Symbol" w:cs="OpenSymbol;Arial Unicode MS"/>
    </w:rPr>
  </w:style>
  <w:style w:type="character" w:styleId="WWCharLFO2LVL8">
    <w:name w:val="WW_CharLFO2LVL8"/>
    <w:qFormat/>
    <w:rPr>
      <w:rFonts w:ascii="Symbol" w:hAnsi="Symbol" w:cs="OpenSymbol;Arial Unicode MS"/>
    </w:rPr>
  </w:style>
  <w:style w:type="character" w:styleId="WWCharLFO2LVL9">
    <w:name w:val="WW_CharLFO2LVL9"/>
    <w:qFormat/>
    <w:rPr>
      <w:rFonts w:ascii="Symbol" w:hAnsi="Symbol" w:cs="OpenSymbol;Arial Unicode MS"/>
    </w:rPr>
  </w:style>
  <w:style w:type="character" w:styleId="WWCharLFO8LVL1">
    <w:name w:val="WW_CharLFO8LVL1"/>
    <w:qFormat/>
    <w:rPr>
      <w:rFonts w:ascii="Courier New" w:hAnsi="Courier New" w:cs="Courier New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Symbol" w:hAnsi="Symbol" w:cs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Symbol" w:hAnsi="Symbol" w:cs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WWCharLFO9LVL1">
    <w:name w:val="WW_CharLFO9LVL1"/>
    <w:qFormat/>
    <w:rPr>
      <w:rFonts w:ascii="Symbol" w:hAnsi="Symbol" w:cs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0LVL1">
    <w:name w:val="WW_CharLFO10LVL1"/>
    <w:qFormat/>
    <w:rPr>
      <w:rFonts w:ascii="Symbol" w:hAnsi="Symbol" w:cs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 w:cs="Wingdings"/>
    </w:rPr>
  </w:style>
  <w:style w:type="character" w:styleId="WWCharLFO10LVL4">
    <w:name w:val="WW_CharLFO10LVL4"/>
    <w:qFormat/>
    <w:rPr>
      <w:rFonts w:ascii="Symbol" w:hAnsi="Symbol" w:cs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 w:cs="Wingdings"/>
    </w:rPr>
  </w:style>
  <w:style w:type="character" w:styleId="WWCharLFO10LVL7">
    <w:name w:val="WW_CharLFO10LVL7"/>
    <w:qFormat/>
    <w:rPr>
      <w:rFonts w:ascii="Symbol" w:hAnsi="Symbol" w:cs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 w:cs="Wingdings"/>
    </w:rPr>
  </w:style>
  <w:style w:type="character" w:styleId="WWCharLFO11LVL1">
    <w:name w:val="WW_CharLFO11LVL1"/>
    <w:qFormat/>
    <w:rPr>
      <w:rFonts w:ascii="Symbol" w:hAnsi="Symbol" w:cs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 w:cs="Wingdings"/>
    </w:rPr>
  </w:style>
  <w:style w:type="character" w:styleId="WWCharLFO11LVL4">
    <w:name w:val="WW_CharLFO11LVL4"/>
    <w:qFormat/>
    <w:rPr>
      <w:rFonts w:ascii="Symbol" w:hAnsi="Symbol" w:cs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 w:cs="Wingdings"/>
    </w:rPr>
  </w:style>
  <w:style w:type="character" w:styleId="WWCharLFO11LVL7">
    <w:name w:val="WW_CharLFO11LVL7"/>
    <w:qFormat/>
    <w:rPr>
      <w:rFonts w:ascii="Symbol" w:hAnsi="Symbol" w:cs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 w:cs="Wingdings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ascii="Symbol" w:hAnsi="Symbol" w:cs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 w:cs="Wingdings"/>
    </w:rPr>
  </w:style>
  <w:style w:type="character" w:styleId="WWCharLFO18LVL4">
    <w:name w:val="WW_CharLFO18LVL4"/>
    <w:qFormat/>
    <w:rPr>
      <w:rFonts w:ascii="Symbol" w:hAnsi="Symbol" w:cs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 w:cs="Wingdings"/>
    </w:rPr>
  </w:style>
  <w:style w:type="character" w:styleId="WWCharLFO18LVL7">
    <w:name w:val="WW_CharLFO18LVL7"/>
    <w:qFormat/>
    <w:rPr>
      <w:rFonts w:ascii="Symbol" w:hAnsi="Symbol" w:cs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 w:cs="Wingdings"/>
    </w:rPr>
  </w:style>
  <w:style w:type="character" w:styleId="WWCharLFO19LVL1">
    <w:name w:val="WW_CharLFO19LVL1"/>
    <w:qFormat/>
    <w:rPr>
      <w:rFonts w:ascii="Symbol" w:hAnsi="Symbol" w:cs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 w:cs="Wingdings"/>
    </w:rPr>
  </w:style>
  <w:style w:type="character" w:styleId="WWCharLFO19LVL4">
    <w:name w:val="WW_CharLFO19LVL4"/>
    <w:qFormat/>
    <w:rPr>
      <w:rFonts w:ascii="Symbol" w:hAnsi="Symbol" w:cs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 w:cs="Wingdings"/>
    </w:rPr>
  </w:style>
  <w:style w:type="character" w:styleId="WWCharLFO19LVL7">
    <w:name w:val="WW_CharLFO19LVL7"/>
    <w:qFormat/>
    <w:rPr>
      <w:rFonts w:ascii="Symbol" w:hAnsi="Symbol" w:cs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 w:cs="Wingdings"/>
    </w:rPr>
  </w:style>
  <w:style w:type="character" w:styleId="WWCharLFO21LVL1">
    <w:name w:val="WW_CharLFO21LVL1"/>
    <w:qFormat/>
    <w:rPr>
      <w:rFonts w:ascii="Times New Roman" w:hAnsi="Times New Roman" w:cs="Times New Roman"/>
    </w:rPr>
  </w:style>
  <w:style w:type="character" w:styleId="WWCharLFO23LVL1">
    <w:name w:val="WW_CharLFO23LVL1"/>
    <w:qFormat/>
    <w:rPr>
      <w:rFonts w:ascii="Symbol" w:hAnsi="Symbol" w:cs="Symbol"/>
    </w:rPr>
  </w:style>
  <w:style w:type="character" w:styleId="WWCharLFO23LVL2">
    <w:name w:val="WW_CharLFO23LVL2"/>
    <w:qFormat/>
    <w:rPr>
      <w:rFonts w:ascii="Courier New" w:hAnsi="Courier New" w:cs="Courier New"/>
    </w:rPr>
  </w:style>
  <w:style w:type="character" w:styleId="WWCharLFO23LVL3">
    <w:name w:val="WW_CharLFO23LVL3"/>
    <w:qFormat/>
    <w:rPr>
      <w:rFonts w:ascii="Wingdings" w:hAnsi="Wingdings" w:cs="Wingdings"/>
    </w:rPr>
  </w:style>
  <w:style w:type="character" w:styleId="WWCharLFO23LVL4">
    <w:name w:val="WW_CharLFO23LVL4"/>
    <w:qFormat/>
    <w:rPr>
      <w:rFonts w:ascii="Symbol" w:hAnsi="Symbol" w:cs="Symbol"/>
    </w:rPr>
  </w:style>
  <w:style w:type="character" w:styleId="WWCharLFO23LVL5">
    <w:name w:val="WW_CharLFO23LVL5"/>
    <w:qFormat/>
    <w:rPr>
      <w:rFonts w:ascii="Courier New" w:hAnsi="Courier New" w:cs="Courier New"/>
    </w:rPr>
  </w:style>
  <w:style w:type="character" w:styleId="WWCharLFO23LVL6">
    <w:name w:val="WW_CharLFO23LVL6"/>
    <w:qFormat/>
    <w:rPr>
      <w:rFonts w:ascii="Wingdings" w:hAnsi="Wingdings" w:cs="Wingdings"/>
    </w:rPr>
  </w:style>
  <w:style w:type="character" w:styleId="WWCharLFO23LVL7">
    <w:name w:val="WW_CharLFO23LVL7"/>
    <w:qFormat/>
    <w:rPr>
      <w:rFonts w:ascii="Symbol" w:hAnsi="Symbol" w:cs="Symbol"/>
    </w:rPr>
  </w:style>
  <w:style w:type="character" w:styleId="WWCharLFO23LVL8">
    <w:name w:val="WW_CharLFO23LVL8"/>
    <w:qFormat/>
    <w:rPr>
      <w:rFonts w:ascii="Courier New" w:hAnsi="Courier New" w:cs="Courier New"/>
    </w:rPr>
  </w:style>
  <w:style w:type="character" w:styleId="WWCharLFO23LVL9">
    <w:name w:val="WW_CharLFO23LVL9"/>
    <w:qFormat/>
    <w:rPr>
      <w:rFonts w:ascii="Wingdings" w:hAnsi="Wingdings" w:cs="Wingdings"/>
    </w:rPr>
  </w:style>
  <w:style w:type="character" w:styleId="WWCharLFO24LVL1">
    <w:name w:val="WW_CharLFO24LVL1"/>
    <w:qFormat/>
    <w:rPr>
      <w:rFonts w:ascii="Symbol" w:hAnsi="Symbol" w:cs="Symbol"/>
    </w:rPr>
  </w:style>
  <w:style w:type="character" w:styleId="WWCharLFO24LVL2">
    <w:name w:val="WW_CharLFO24LVL2"/>
    <w:qFormat/>
    <w:rPr>
      <w:rFonts w:ascii="Courier New" w:hAnsi="Courier New" w:cs="Courier New"/>
    </w:rPr>
  </w:style>
  <w:style w:type="character" w:styleId="WWCharLFO24LVL3">
    <w:name w:val="WW_CharLFO24LVL3"/>
    <w:qFormat/>
    <w:rPr>
      <w:rFonts w:ascii="Wingdings" w:hAnsi="Wingdings" w:cs="Wingdings"/>
    </w:rPr>
  </w:style>
  <w:style w:type="character" w:styleId="WWCharLFO24LVL4">
    <w:name w:val="WW_CharLFO24LVL4"/>
    <w:qFormat/>
    <w:rPr>
      <w:rFonts w:ascii="Symbol" w:hAnsi="Symbol" w:cs="Symbol"/>
    </w:rPr>
  </w:style>
  <w:style w:type="character" w:styleId="WWCharLFO24LVL5">
    <w:name w:val="WW_CharLFO24LVL5"/>
    <w:qFormat/>
    <w:rPr>
      <w:rFonts w:ascii="Courier New" w:hAnsi="Courier New" w:cs="Courier New"/>
    </w:rPr>
  </w:style>
  <w:style w:type="character" w:styleId="WWCharLFO24LVL6">
    <w:name w:val="WW_CharLFO24LVL6"/>
    <w:qFormat/>
    <w:rPr>
      <w:rFonts w:ascii="Wingdings" w:hAnsi="Wingdings" w:cs="Wingdings"/>
    </w:rPr>
  </w:style>
  <w:style w:type="character" w:styleId="WWCharLFO24LVL7">
    <w:name w:val="WW_CharLFO24LVL7"/>
    <w:qFormat/>
    <w:rPr>
      <w:rFonts w:ascii="Symbol" w:hAnsi="Symbol" w:cs="Symbol"/>
    </w:rPr>
  </w:style>
  <w:style w:type="character" w:styleId="WWCharLFO24LVL8">
    <w:name w:val="WW_CharLFO24LVL8"/>
    <w:qFormat/>
    <w:rPr>
      <w:rFonts w:ascii="Courier New" w:hAnsi="Courier New" w:cs="Courier New"/>
    </w:rPr>
  </w:style>
  <w:style w:type="character" w:styleId="WWCharLFO24LVL9">
    <w:name w:val="WW_CharLFO24LVL9"/>
    <w:qFormat/>
    <w:rPr>
      <w:rFonts w:ascii="Wingdings" w:hAnsi="Wingdings" w:cs="Wingdings"/>
    </w:rPr>
  </w:style>
  <w:style w:type="character" w:styleId="WWCharLFO25LVL1">
    <w:name w:val="WW_CharLFO25LVL1"/>
    <w:qFormat/>
    <w:rPr>
      <w:rFonts w:ascii="Symbol" w:hAnsi="Symbol" w:cs="Symbol"/>
    </w:rPr>
  </w:style>
  <w:style w:type="character" w:styleId="WWCharLFO25LVL2">
    <w:name w:val="WW_CharLFO25LVL2"/>
    <w:qFormat/>
    <w:rPr>
      <w:rFonts w:ascii="Courier New" w:hAnsi="Courier New" w:cs="Courier New"/>
    </w:rPr>
  </w:style>
  <w:style w:type="character" w:styleId="WWCharLFO25LVL3">
    <w:name w:val="WW_CharLFO25LVL3"/>
    <w:qFormat/>
    <w:rPr>
      <w:rFonts w:ascii="Wingdings" w:hAnsi="Wingdings" w:cs="Wingdings"/>
    </w:rPr>
  </w:style>
  <w:style w:type="character" w:styleId="WWCharLFO25LVL4">
    <w:name w:val="WW_CharLFO25LVL4"/>
    <w:qFormat/>
    <w:rPr>
      <w:rFonts w:ascii="Symbol" w:hAnsi="Symbol" w:cs="Symbol"/>
    </w:rPr>
  </w:style>
  <w:style w:type="character" w:styleId="WWCharLFO25LVL5">
    <w:name w:val="WW_CharLFO25LVL5"/>
    <w:qFormat/>
    <w:rPr>
      <w:rFonts w:ascii="Courier New" w:hAnsi="Courier New" w:cs="Courier New"/>
    </w:rPr>
  </w:style>
  <w:style w:type="character" w:styleId="WWCharLFO25LVL6">
    <w:name w:val="WW_CharLFO25LVL6"/>
    <w:qFormat/>
    <w:rPr>
      <w:rFonts w:ascii="Wingdings" w:hAnsi="Wingdings" w:cs="Wingdings"/>
    </w:rPr>
  </w:style>
  <w:style w:type="character" w:styleId="WWCharLFO25LVL7">
    <w:name w:val="WW_CharLFO25LVL7"/>
    <w:qFormat/>
    <w:rPr>
      <w:rFonts w:ascii="Symbol" w:hAnsi="Symbol" w:cs="Symbol"/>
    </w:rPr>
  </w:style>
  <w:style w:type="character" w:styleId="WWCharLFO25LVL8">
    <w:name w:val="WW_CharLFO25LVL8"/>
    <w:qFormat/>
    <w:rPr>
      <w:rFonts w:ascii="Courier New" w:hAnsi="Courier New" w:cs="Courier New"/>
    </w:rPr>
  </w:style>
  <w:style w:type="character" w:styleId="WWCharLFO25LVL9">
    <w:name w:val="WW_CharLFO25LVL9"/>
    <w:qFormat/>
    <w:rPr>
      <w:rFonts w:ascii="Wingdings" w:hAnsi="Wingdings" w:cs="Wingdings"/>
    </w:rPr>
  </w:style>
  <w:style w:type="character" w:styleId="WWCharLFO26LVL1">
    <w:name w:val="WW_CharLFO26LVL1"/>
    <w:qFormat/>
    <w:rPr>
      <w:rFonts w:ascii="Courier New" w:hAnsi="Courier New" w:cs="Courier New"/>
    </w:rPr>
  </w:style>
  <w:style w:type="character" w:styleId="WWCharLFO26LVL2">
    <w:name w:val="WW_CharLFO26LVL2"/>
    <w:qFormat/>
    <w:rPr>
      <w:rFonts w:ascii="Courier New" w:hAnsi="Courier New" w:cs="Courier New"/>
    </w:rPr>
  </w:style>
  <w:style w:type="character" w:styleId="WWCharLFO26LVL3">
    <w:name w:val="WW_CharLFO26LVL3"/>
    <w:qFormat/>
    <w:rPr>
      <w:rFonts w:ascii="Wingdings" w:hAnsi="Wingdings" w:cs="Wingdings"/>
    </w:rPr>
  </w:style>
  <w:style w:type="character" w:styleId="WWCharLFO26LVL4">
    <w:name w:val="WW_CharLFO26LVL4"/>
    <w:qFormat/>
    <w:rPr>
      <w:rFonts w:ascii="Symbol" w:hAnsi="Symbol" w:cs="Symbol"/>
    </w:rPr>
  </w:style>
  <w:style w:type="character" w:styleId="WWCharLFO26LVL5">
    <w:name w:val="WW_CharLFO26LVL5"/>
    <w:qFormat/>
    <w:rPr>
      <w:rFonts w:ascii="Courier New" w:hAnsi="Courier New" w:cs="Courier New"/>
    </w:rPr>
  </w:style>
  <w:style w:type="character" w:styleId="WWCharLFO26LVL6">
    <w:name w:val="WW_CharLFO26LVL6"/>
    <w:qFormat/>
    <w:rPr>
      <w:rFonts w:ascii="Wingdings" w:hAnsi="Wingdings" w:cs="Wingdings"/>
    </w:rPr>
  </w:style>
  <w:style w:type="character" w:styleId="WWCharLFO26LVL7">
    <w:name w:val="WW_CharLFO26LVL7"/>
    <w:qFormat/>
    <w:rPr>
      <w:rFonts w:ascii="Symbol" w:hAnsi="Symbol" w:cs="Symbol"/>
    </w:rPr>
  </w:style>
  <w:style w:type="character" w:styleId="WWCharLFO26LVL8">
    <w:name w:val="WW_CharLFO26LVL8"/>
    <w:qFormat/>
    <w:rPr>
      <w:rFonts w:ascii="Courier New" w:hAnsi="Courier New" w:cs="Courier New"/>
    </w:rPr>
  </w:style>
  <w:style w:type="character" w:styleId="WWCharLFO26LVL9">
    <w:name w:val="WW_CharLFO26LVL9"/>
    <w:qFormat/>
    <w:rPr>
      <w:rFonts w:ascii="Wingdings" w:hAnsi="Wingdings" w:cs="Wingdings"/>
    </w:rPr>
  </w:style>
  <w:style w:type="character" w:styleId="WWCharLFO27LVL2">
    <w:name w:val="WW_CharLFO27LVL2"/>
    <w:qFormat/>
    <w:rPr>
      <w:sz w:val="18"/>
      <w:szCs w:val="18"/>
    </w:rPr>
  </w:style>
  <w:style w:type="character" w:styleId="WWCharLFO28LVL1">
    <w:name w:val="WW_CharLFO28LVL1"/>
    <w:qFormat/>
    <w:rPr>
      <w:rFonts w:ascii="Symbol" w:hAnsi="Symbol"/>
    </w:rPr>
  </w:style>
  <w:style w:type="character" w:styleId="WWCharLFO28LVL2">
    <w:name w:val="WW_CharLFO28LVL2"/>
    <w:qFormat/>
    <w:rPr>
      <w:rFonts w:ascii="Courier New" w:hAnsi="Courier New" w:cs="Courier New"/>
    </w:rPr>
  </w:style>
  <w:style w:type="character" w:styleId="WWCharLFO28LVL3">
    <w:name w:val="WW_CharLFO28LVL3"/>
    <w:qFormat/>
    <w:rPr>
      <w:rFonts w:ascii="Wingdings" w:hAnsi="Wingdings"/>
    </w:rPr>
  </w:style>
  <w:style w:type="character" w:styleId="WWCharLFO28LVL4">
    <w:name w:val="WW_CharLFO28LVL4"/>
    <w:qFormat/>
    <w:rPr>
      <w:rFonts w:ascii="Symbol" w:hAnsi="Symbol"/>
    </w:rPr>
  </w:style>
  <w:style w:type="character" w:styleId="WWCharLFO28LVL5">
    <w:name w:val="WW_CharLFO28LVL5"/>
    <w:qFormat/>
    <w:rPr>
      <w:rFonts w:ascii="Courier New" w:hAnsi="Courier New" w:cs="Courier New"/>
    </w:rPr>
  </w:style>
  <w:style w:type="character" w:styleId="WWCharLFO28LVL6">
    <w:name w:val="WW_CharLFO28LVL6"/>
    <w:qFormat/>
    <w:rPr>
      <w:rFonts w:ascii="Wingdings" w:hAnsi="Wingdings"/>
    </w:rPr>
  </w:style>
  <w:style w:type="character" w:styleId="WWCharLFO28LVL7">
    <w:name w:val="WW_CharLFO28LVL7"/>
    <w:qFormat/>
    <w:rPr>
      <w:rFonts w:ascii="Symbol" w:hAnsi="Symbol"/>
    </w:rPr>
  </w:style>
  <w:style w:type="character" w:styleId="WWCharLFO28LVL8">
    <w:name w:val="WW_CharLFO28LVL8"/>
    <w:qFormat/>
    <w:rPr>
      <w:rFonts w:ascii="Courier New" w:hAnsi="Courier New" w:cs="Courier New"/>
    </w:rPr>
  </w:style>
  <w:style w:type="character" w:styleId="WWCharLFO28LVL9">
    <w:name w:val="WW_CharLFO28LVL9"/>
    <w:qFormat/>
    <w:rPr>
      <w:rFonts w:ascii="Wingdings" w:hAnsi="Wingdings"/>
    </w:rPr>
  </w:style>
  <w:style w:type="character" w:styleId="WWCharLFO29LVL1">
    <w:name w:val="WW_CharLFO29LVL1"/>
    <w:qFormat/>
    <w:rPr>
      <w:rFonts w:ascii="Symbol" w:hAnsi="Symbol"/>
    </w:rPr>
  </w:style>
  <w:style w:type="character" w:styleId="WWCharLFO29LVL2">
    <w:name w:val="WW_CharLFO29LVL2"/>
    <w:qFormat/>
    <w:rPr>
      <w:rFonts w:ascii="Courier New" w:hAnsi="Courier New" w:cs="Courier New"/>
    </w:rPr>
  </w:style>
  <w:style w:type="character" w:styleId="WWCharLFO29LVL3">
    <w:name w:val="WW_CharLFO29LVL3"/>
    <w:qFormat/>
    <w:rPr>
      <w:rFonts w:ascii="Wingdings" w:hAnsi="Wingdings"/>
    </w:rPr>
  </w:style>
  <w:style w:type="character" w:styleId="WWCharLFO29LVL4">
    <w:name w:val="WW_CharLFO29LVL4"/>
    <w:qFormat/>
    <w:rPr>
      <w:rFonts w:ascii="Symbol" w:hAnsi="Symbol"/>
    </w:rPr>
  </w:style>
  <w:style w:type="character" w:styleId="WWCharLFO29LVL5">
    <w:name w:val="WW_CharLFO29LVL5"/>
    <w:qFormat/>
    <w:rPr>
      <w:rFonts w:ascii="Courier New" w:hAnsi="Courier New" w:cs="Courier New"/>
    </w:rPr>
  </w:style>
  <w:style w:type="character" w:styleId="WWCharLFO29LVL6">
    <w:name w:val="WW_CharLFO29LVL6"/>
    <w:qFormat/>
    <w:rPr>
      <w:rFonts w:ascii="Wingdings" w:hAnsi="Wingdings"/>
    </w:rPr>
  </w:style>
  <w:style w:type="character" w:styleId="WWCharLFO29LVL7">
    <w:name w:val="WW_CharLFO29LVL7"/>
    <w:qFormat/>
    <w:rPr>
      <w:rFonts w:ascii="Symbol" w:hAnsi="Symbol"/>
    </w:rPr>
  </w:style>
  <w:style w:type="character" w:styleId="WWCharLFO29LVL8">
    <w:name w:val="WW_CharLFO29LVL8"/>
    <w:qFormat/>
    <w:rPr>
      <w:rFonts w:ascii="Courier New" w:hAnsi="Courier New" w:cs="Courier New"/>
    </w:rPr>
  </w:style>
  <w:style w:type="character" w:styleId="WWCharLFO29LVL9">
    <w:name w:val="WW_CharLFO29LVL9"/>
    <w:qFormat/>
    <w:rPr>
      <w:rFonts w:ascii="Wingdings" w:hAnsi="Wingdings"/>
    </w:rPr>
  </w:style>
  <w:style w:type="character" w:styleId="WWCharLFO30LVL1">
    <w:name w:val="WW_CharLFO30LVL1"/>
    <w:qFormat/>
    <w:rPr>
      <w:rFonts w:ascii="Symbol" w:hAnsi="Symbol"/>
    </w:rPr>
  </w:style>
  <w:style w:type="character" w:styleId="WWCharLFO30LVL2">
    <w:name w:val="WW_CharLFO30LVL2"/>
    <w:qFormat/>
    <w:rPr>
      <w:rFonts w:ascii="Courier New" w:hAnsi="Courier New" w:cs="Courier New"/>
    </w:rPr>
  </w:style>
  <w:style w:type="character" w:styleId="WWCharLFO30LVL3">
    <w:name w:val="WW_CharLFO30LVL3"/>
    <w:qFormat/>
    <w:rPr>
      <w:rFonts w:ascii="Wingdings" w:hAnsi="Wingdings"/>
    </w:rPr>
  </w:style>
  <w:style w:type="character" w:styleId="WWCharLFO30LVL4">
    <w:name w:val="WW_CharLFO30LVL4"/>
    <w:qFormat/>
    <w:rPr>
      <w:rFonts w:ascii="Symbol" w:hAnsi="Symbol"/>
    </w:rPr>
  </w:style>
  <w:style w:type="character" w:styleId="WWCharLFO30LVL5">
    <w:name w:val="WW_CharLFO30LVL5"/>
    <w:qFormat/>
    <w:rPr>
      <w:rFonts w:ascii="Courier New" w:hAnsi="Courier New" w:cs="Courier New"/>
    </w:rPr>
  </w:style>
  <w:style w:type="character" w:styleId="WWCharLFO30LVL6">
    <w:name w:val="WW_CharLFO30LVL6"/>
    <w:qFormat/>
    <w:rPr>
      <w:rFonts w:ascii="Wingdings" w:hAnsi="Wingdings"/>
    </w:rPr>
  </w:style>
  <w:style w:type="character" w:styleId="WWCharLFO30LVL7">
    <w:name w:val="WW_CharLFO30LVL7"/>
    <w:qFormat/>
    <w:rPr>
      <w:rFonts w:ascii="Symbol" w:hAnsi="Symbol"/>
    </w:rPr>
  </w:style>
  <w:style w:type="character" w:styleId="WWCharLFO30LVL8">
    <w:name w:val="WW_CharLFO30LVL8"/>
    <w:qFormat/>
    <w:rPr>
      <w:rFonts w:ascii="Courier New" w:hAnsi="Courier New" w:cs="Courier New"/>
    </w:rPr>
  </w:style>
  <w:style w:type="character" w:styleId="WWCharLFO30LVL9">
    <w:name w:val="WW_CharLFO30LVL9"/>
    <w:qFormat/>
    <w:rPr>
      <w:rFonts w:ascii="Wingdings" w:hAnsi="Wingdings"/>
    </w:rPr>
  </w:style>
  <w:style w:type="character" w:styleId="WWCharLFO31LVL1">
    <w:name w:val="WW_CharLFO31LVL1"/>
    <w:qFormat/>
    <w:rPr>
      <w:rFonts w:ascii="Symbol" w:hAnsi="Symbol"/>
    </w:rPr>
  </w:style>
  <w:style w:type="character" w:styleId="WWCharLFO31LVL2">
    <w:name w:val="WW_CharLFO31LVL2"/>
    <w:qFormat/>
    <w:rPr>
      <w:rFonts w:ascii="Courier New" w:hAnsi="Courier New" w:cs="Courier New"/>
    </w:rPr>
  </w:style>
  <w:style w:type="character" w:styleId="WWCharLFO31LVL3">
    <w:name w:val="WW_CharLFO31LVL3"/>
    <w:qFormat/>
    <w:rPr>
      <w:rFonts w:ascii="Wingdings" w:hAnsi="Wingdings"/>
    </w:rPr>
  </w:style>
  <w:style w:type="character" w:styleId="WWCharLFO31LVL4">
    <w:name w:val="WW_CharLFO31LVL4"/>
    <w:qFormat/>
    <w:rPr>
      <w:rFonts w:ascii="Symbol" w:hAnsi="Symbol"/>
    </w:rPr>
  </w:style>
  <w:style w:type="character" w:styleId="WWCharLFO31LVL5">
    <w:name w:val="WW_CharLFO31LVL5"/>
    <w:qFormat/>
    <w:rPr>
      <w:rFonts w:ascii="Courier New" w:hAnsi="Courier New" w:cs="Courier New"/>
    </w:rPr>
  </w:style>
  <w:style w:type="character" w:styleId="WWCharLFO31LVL6">
    <w:name w:val="WW_CharLFO31LVL6"/>
    <w:qFormat/>
    <w:rPr>
      <w:rFonts w:ascii="Wingdings" w:hAnsi="Wingdings"/>
    </w:rPr>
  </w:style>
  <w:style w:type="character" w:styleId="WWCharLFO31LVL7">
    <w:name w:val="WW_CharLFO31LVL7"/>
    <w:qFormat/>
    <w:rPr>
      <w:rFonts w:ascii="Symbol" w:hAnsi="Symbol"/>
    </w:rPr>
  </w:style>
  <w:style w:type="character" w:styleId="WWCharLFO31LVL8">
    <w:name w:val="WW_CharLFO31LVL8"/>
    <w:qFormat/>
    <w:rPr>
      <w:rFonts w:ascii="Courier New" w:hAnsi="Courier New" w:cs="Courier New"/>
    </w:rPr>
  </w:style>
  <w:style w:type="character" w:styleId="WWCharLFO31LVL9">
    <w:name w:val="WW_CharLFO31LVL9"/>
    <w:qFormat/>
    <w:rPr>
      <w:rFonts w:ascii="Wingdings" w:hAnsi="Wingdings"/>
    </w:rPr>
  </w:style>
  <w:style w:type="character" w:styleId="WWCharLFO33LVL1">
    <w:name w:val="WW_CharLFO33LVL1"/>
    <w:qFormat/>
    <w:rPr>
      <w:rFonts w:ascii="Symbol" w:hAnsi="Symbol"/>
    </w:rPr>
  </w:style>
  <w:style w:type="character" w:styleId="WWCharLFO33LVL2">
    <w:name w:val="WW_CharLFO33LVL2"/>
    <w:qFormat/>
    <w:rPr>
      <w:rFonts w:ascii="Courier New" w:hAnsi="Courier New" w:cs="Courier New"/>
    </w:rPr>
  </w:style>
  <w:style w:type="character" w:styleId="WWCharLFO33LVL3">
    <w:name w:val="WW_CharLFO33LVL3"/>
    <w:qFormat/>
    <w:rPr>
      <w:rFonts w:ascii="Wingdings" w:hAnsi="Wingdings"/>
    </w:rPr>
  </w:style>
  <w:style w:type="character" w:styleId="WWCharLFO33LVL4">
    <w:name w:val="WW_CharLFO33LVL4"/>
    <w:qFormat/>
    <w:rPr>
      <w:rFonts w:ascii="Symbol" w:hAnsi="Symbol"/>
    </w:rPr>
  </w:style>
  <w:style w:type="character" w:styleId="WWCharLFO33LVL5">
    <w:name w:val="WW_CharLFO33LVL5"/>
    <w:qFormat/>
    <w:rPr>
      <w:rFonts w:ascii="Courier New" w:hAnsi="Courier New" w:cs="Courier New"/>
    </w:rPr>
  </w:style>
  <w:style w:type="character" w:styleId="WWCharLFO33LVL6">
    <w:name w:val="WW_CharLFO33LVL6"/>
    <w:qFormat/>
    <w:rPr>
      <w:rFonts w:ascii="Wingdings" w:hAnsi="Wingdings"/>
    </w:rPr>
  </w:style>
  <w:style w:type="character" w:styleId="WWCharLFO33LVL7">
    <w:name w:val="WW_CharLFO33LVL7"/>
    <w:qFormat/>
    <w:rPr>
      <w:rFonts w:ascii="Symbol" w:hAnsi="Symbol"/>
    </w:rPr>
  </w:style>
  <w:style w:type="character" w:styleId="WWCharLFO33LVL8">
    <w:name w:val="WW_CharLFO33LVL8"/>
    <w:qFormat/>
    <w:rPr>
      <w:rFonts w:ascii="Courier New" w:hAnsi="Courier New" w:cs="Courier New"/>
    </w:rPr>
  </w:style>
  <w:style w:type="character" w:styleId="WWCharLFO33LVL9">
    <w:name w:val="WW_CharLFO33LVL9"/>
    <w:qFormat/>
    <w:rPr>
      <w:rFonts w:ascii="Wingdings" w:hAnsi="Wingdings"/>
    </w:rPr>
  </w:style>
  <w:style w:type="paragraph" w:styleId="Style24">
    <w:name w:val="Заголовок"/>
    <w:basedOn w:val="Normal"/>
    <w:next w:val="Style25"/>
    <w:qFormat/>
    <w:pPr>
      <w:keepNext w:val="true"/>
      <w:suppressAutoHyphens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25">
    <w:name w:val="Body Text"/>
    <w:basedOn w:val="2"/>
    <w:pPr>
      <w:suppressAutoHyphens w:val="true"/>
      <w:jc w:val="both"/>
    </w:pPr>
    <w:rPr>
      <w:sz w:val="20"/>
      <w:szCs w:val="1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List"/>
    <w:basedOn w:val="Style25"/>
    <w:pPr>
      <w:suppressAutoHyphens w:val="true"/>
    </w:pPr>
    <w:rPr>
      <w:rFonts w:ascii="Arial" w:hAnsi="Arial" w:eastAsia="Arial" w:cs="Tahoma"/>
    </w:rPr>
  </w:style>
  <w:style w:type="paragraph" w:styleId="Style2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  <w:suppressAutoHyphens w:val="true"/>
    </w:pPr>
    <w:rPr>
      <w:rFonts w:cs="Mangal"/>
      <w:sz w:val="24"/>
    </w:rPr>
  </w:style>
  <w:style w:type="paragraph" w:styleId="2">
    <w:name w:val="Обычный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0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21">
    <w:name w:val="Основной текст с отступом 21"/>
    <w:basedOn w:val="2"/>
    <w:qFormat/>
    <w:pPr>
      <w:tabs>
        <w:tab w:val="clear" w:pos="708"/>
      </w:tabs>
      <w:suppressAutoHyphens w:val="true"/>
      <w:ind w:left="720" w:hanging="12"/>
      <w:jc w:val="both"/>
    </w:pPr>
    <w:rPr>
      <w:sz w:val="20"/>
      <w:szCs w:val="18"/>
    </w:rPr>
  </w:style>
  <w:style w:type="paragraph" w:styleId="Style31">
    <w:name w:val="Абзац списка"/>
    <w:basedOn w:val="Normal"/>
    <w:qFormat/>
    <w:pPr>
      <w:tabs>
        <w:tab w:val="clear" w:pos="708"/>
      </w:tabs>
      <w:suppressAutoHyphens w:val="true"/>
      <w:spacing w:lineRule="auto" w:line="276"/>
      <w:ind w:left="720" w:firstLine="709"/>
    </w:pPr>
    <w:rPr>
      <w:sz w:val="28"/>
      <w:szCs w:val="22"/>
    </w:rPr>
  </w:style>
  <w:style w:type="paragraph" w:styleId="Style32">
    <w:name w:val="Содержимое таблицы"/>
    <w:basedOn w:val="Normal"/>
    <w:qFormat/>
    <w:pPr>
      <w:suppressLineNumbers/>
      <w:suppressAutoHyphens w:val="true"/>
    </w:pPr>
    <w:rPr/>
  </w:style>
  <w:style w:type="paragraph" w:styleId="12">
    <w:name w:val="Обычный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eastAsia="Times New Roman" w:cs="Ari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-4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ru-RU" w:eastAsia="zh-CN"/>
    </w:rPr>
  </w:style>
  <w:style w:type="paragraph" w:styleId="Style33">
    <w:name w:val="Текст примечания"/>
    <w:basedOn w:val="Normal"/>
    <w:qFormat/>
    <w:pPr>
      <w:suppressAutoHyphens w:val="true"/>
    </w:pPr>
    <w:rPr/>
  </w:style>
  <w:style w:type="paragraph" w:styleId="Style34">
    <w:name w:val="Тема примечания"/>
    <w:basedOn w:val="Style33"/>
    <w:next w:val="Style33"/>
    <w:qFormat/>
    <w:pPr>
      <w:suppressAutoHyphens w:val="true"/>
    </w:pPr>
    <w:rPr>
      <w:b/>
      <w:bCs/>
    </w:rPr>
  </w:style>
  <w:style w:type="paragraph" w:styleId="Style35">
    <w:name w:val="Текст выноски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Style36">
    <w:name w:val="Рецензия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ourier New" w:hAnsi="Courier New" w:eastAsia="Malgun Gothic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3">
    <w:name w:val="Абзац списка1"/>
    <w:basedOn w:val="Normal"/>
    <w:qFormat/>
    <w:pPr>
      <w:tabs>
        <w:tab w:val="clear" w:pos="708"/>
      </w:tabs>
      <w:suppressAutoHyphens w:val="true"/>
      <w:spacing w:lineRule="auto" w:line="276"/>
      <w:ind w:left="720" w:firstLine="709"/>
    </w:pPr>
    <w:rPr>
      <w:sz w:val="28"/>
      <w:szCs w:val="22"/>
    </w:rPr>
  </w:style>
  <w:style w:type="paragraph" w:styleId="Style37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Style38">
    <w:name w:val="Обычный (Интернет)"/>
    <w:basedOn w:val="Style26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0">
    <w:name w:val="Head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paragraph" w:styleId="Style41">
    <w:name w:val="Footer"/>
    <w:basedOn w:val="Style26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emeynay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622</TotalTime>
  <Application>LibreOffice/7.0.3.1$Windows_X86_64 LibreOffice_project/d7547858d014d4cf69878db179d326fc3483e082</Application>
  <Pages>4</Pages>
  <Words>2080</Words>
  <Characters>15569</Characters>
  <CharactersWithSpaces>17814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2020-01-09T19:17:00Z</dcterms:created>
  <dc:creator>Yana Alekseeva</dc:creator>
  <dc:description/>
  <dc:language>ru-RU</dc:language>
  <cp:lastModifiedBy/>
  <cp:lastPrinted>2018-04-17T15:13:00Z</cp:lastPrinted>
  <dcterms:modified xsi:type="dcterms:W3CDTF">2025-01-10T16:16:57Z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